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284145" w14:textId="34BF955C" w:rsidR="008F50E0" w:rsidRPr="008F50E0" w:rsidRDefault="00A425F7" w:rsidP="0036106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‘</w:t>
      </w:r>
      <w:r w:rsidR="008F50E0" w:rsidRPr="008F50E0">
        <w:rPr>
          <w:rFonts w:ascii="Arial" w:hAnsi="Arial" w:cs="Arial"/>
          <w:b/>
          <w:sz w:val="22"/>
          <w:szCs w:val="22"/>
        </w:rPr>
        <w:t>Going Open</w:t>
      </w:r>
      <w:r>
        <w:rPr>
          <w:rFonts w:ascii="Arial" w:hAnsi="Arial" w:cs="Arial"/>
          <w:b/>
          <w:sz w:val="22"/>
          <w:szCs w:val="22"/>
        </w:rPr>
        <w:t>’</w:t>
      </w:r>
      <w:r w:rsidR="008F50E0" w:rsidRPr="008F50E0">
        <w:rPr>
          <w:rFonts w:ascii="Arial" w:hAnsi="Arial" w:cs="Arial"/>
          <w:b/>
          <w:sz w:val="22"/>
          <w:szCs w:val="22"/>
        </w:rPr>
        <w:t xml:space="preserve"> at the UAL and Coventry</w:t>
      </w:r>
    </w:p>
    <w:p w14:paraId="20DB7537" w14:textId="246A1D0A" w:rsidR="003D1D51" w:rsidRDefault="003160F9" w:rsidP="00361063">
      <w:pPr>
        <w:rPr>
          <w:sz w:val="22"/>
          <w:szCs w:val="22"/>
        </w:rPr>
      </w:pPr>
      <w:r w:rsidRPr="008F50E0">
        <w:rPr>
          <w:sz w:val="22"/>
          <w:szCs w:val="22"/>
        </w:rPr>
        <w:t>UAL is currently en</w:t>
      </w:r>
      <w:r w:rsidR="00C878D0" w:rsidRPr="008F50E0">
        <w:rPr>
          <w:sz w:val="22"/>
          <w:szCs w:val="22"/>
        </w:rPr>
        <w:t>g</w:t>
      </w:r>
      <w:r w:rsidRPr="008F50E0">
        <w:rPr>
          <w:sz w:val="22"/>
          <w:szCs w:val="22"/>
        </w:rPr>
        <w:t>ag</w:t>
      </w:r>
      <w:r w:rsidR="00C878D0" w:rsidRPr="008F50E0">
        <w:rPr>
          <w:sz w:val="22"/>
          <w:szCs w:val="22"/>
        </w:rPr>
        <w:t>ed</w:t>
      </w:r>
      <w:r w:rsidRPr="008F50E0">
        <w:rPr>
          <w:sz w:val="22"/>
          <w:szCs w:val="22"/>
        </w:rPr>
        <w:t xml:space="preserve"> in a short HEA Open Educational Resources (OER) project with Coventry University School of Art and Design</w:t>
      </w:r>
      <w:r w:rsidR="00A425F7">
        <w:rPr>
          <w:sz w:val="22"/>
          <w:szCs w:val="22"/>
        </w:rPr>
        <w:t>,</w:t>
      </w:r>
      <w:r w:rsidRPr="008F50E0">
        <w:rPr>
          <w:sz w:val="22"/>
          <w:szCs w:val="22"/>
        </w:rPr>
        <w:t xml:space="preserve"> to join the ‘OpenCourseWare</w:t>
      </w:r>
      <w:r w:rsidR="00F56F97">
        <w:rPr>
          <w:sz w:val="22"/>
          <w:szCs w:val="22"/>
        </w:rPr>
        <w:t xml:space="preserve">’ </w:t>
      </w:r>
      <w:r w:rsidR="00F56F97" w:rsidRPr="008F50E0">
        <w:rPr>
          <w:sz w:val="22"/>
          <w:szCs w:val="22"/>
        </w:rPr>
        <w:t>(</w:t>
      </w:r>
      <w:hyperlink r:id="rId8" w:history="1">
        <w:r w:rsidR="00F56F97" w:rsidRPr="008F50E0">
          <w:rPr>
            <w:rStyle w:val="Hyperlink"/>
            <w:sz w:val="22"/>
            <w:szCs w:val="22"/>
          </w:rPr>
          <w:t>OCW</w:t>
        </w:r>
      </w:hyperlink>
      <w:r w:rsidR="00F56F97">
        <w:rPr>
          <w:sz w:val="22"/>
          <w:szCs w:val="22"/>
        </w:rPr>
        <w:t>) Consortium</w:t>
      </w:r>
      <w:r w:rsidR="00132876">
        <w:rPr>
          <w:sz w:val="22"/>
          <w:szCs w:val="22"/>
        </w:rPr>
        <w:t>. T</w:t>
      </w:r>
      <w:r w:rsidR="00A425F7">
        <w:rPr>
          <w:sz w:val="22"/>
          <w:szCs w:val="22"/>
        </w:rPr>
        <w:t>his is t</w:t>
      </w:r>
      <w:r w:rsidRPr="008F50E0">
        <w:rPr>
          <w:sz w:val="22"/>
          <w:szCs w:val="22"/>
        </w:rPr>
        <w:t xml:space="preserve">he international open education association, led by MIT, </w:t>
      </w:r>
      <w:r w:rsidR="00132876">
        <w:rPr>
          <w:sz w:val="22"/>
          <w:szCs w:val="22"/>
        </w:rPr>
        <w:t>taking</w:t>
      </w:r>
      <w:r w:rsidRPr="008F50E0">
        <w:rPr>
          <w:sz w:val="22"/>
          <w:szCs w:val="22"/>
        </w:rPr>
        <w:t xml:space="preserve"> its name from the way MIT chose to share it’s learning resources with the rest of the world via this </w:t>
      </w:r>
      <w:hyperlink r:id="rId9" w:history="1">
        <w:r w:rsidRPr="008F50E0">
          <w:rPr>
            <w:rStyle w:val="Hyperlink"/>
            <w:sz w:val="22"/>
            <w:szCs w:val="22"/>
          </w:rPr>
          <w:t>website</w:t>
        </w:r>
      </w:hyperlink>
      <w:r w:rsidRPr="008F50E0">
        <w:rPr>
          <w:sz w:val="22"/>
          <w:szCs w:val="22"/>
        </w:rPr>
        <w:t>.</w:t>
      </w:r>
      <w:r w:rsidR="00AC1D4F" w:rsidRPr="008F50E0">
        <w:rPr>
          <w:sz w:val="22"/>
          <w:szCs w:val="22"/>
        </w:rPr>
        <w:t xml:space="preserve"> This case study provides an overview of the Nottingham experience</w:t>
      </w:r>
      <w:r w:rsidR="00132876">
        <w:rPr>
          <w:sz w:val="22"/>
          <w:szCs w:val="22"/>
        </w:rPr>
        <w:t>, indicating</w:t>
      </w:r>
      <w:r w:rsidR="00576EFB" w:rsidRPr="008F50E0">
        <w:rPr>
          <w:sz w:val="22"/>
          <w:szCs w:val="22"/>
        </w:rPr>
        <w:t xml:space="preserve"> the benefits we might expect from joining. </w:t>
      </w:r>
      <w:r w:rsidR="003D1D51" w:rsidRPr="008F50E0">
        <w:rPr>
          <w:sz w:val="22"/>
          <w:szCs w:val="22"/>
        </w:rPr>
        <w:t>Nottingham was one of the first UK u</w:t>
      </w:r>
      <w:r w:rsidR="0018302D" w:rsidRPr="008F50E0">
        <w:rPr>
          <w:sz w:val="22"/>
          <w:szCs w:val="22"/>
        </w:rPr>
        <w:t xml:space="preserve">niversities, </w:t>
      </w:r>
      <w:r w:rsidR="003D1D51" w:rsidRPr="008F50E0">
        <w:rPr>
          <w:sz w:val="22"/>
          <w:szCs w:val="22"/>
        </w:rPr>
        <w:t>along with the Open University</w:t>
      </w:r>
      <w:r w:rsidR="0060368B" w:rsidRPr="008F50E0">
        <w:rPr>
          <w:sz w:val="22"/>
          <w:szCs w:val="22"/>
        </w:rPr>
        <w:t xml:space="preserve"> (OU)</w:t>
      </w:r>
      <w:r w:rsidR="0018302D" w:rsidRPr="008F50E0">
        <w:rPr>
          <w:sz w:val="22"/>
          <w:szCs w:val="22"/>
        </w:rPr>
        <w:t>,</w:t>
      </w:r>
      <w:r w:rsidR="003D1D51" w:rsidRPr="008F50E0">
        <w:rPr>
          <w:sz w:val="22"/>
          <w:szCs w:val="22"/>
        </w:rPr>
        <w:t xml:space="preserve"> to join the </w:t>
      </w:r>
      <w:r w:rsidR="00576EFB" w:rsidRPr="008F50E0">
        <w:rPr>
          <w:sz w:val="22"/>
          <w:szCs w:val="22"/>
        </w:rPr>
        <w:t>OCW about 5 years ago</w:t>
      </w:r>
      <w:r w:rsidR="0060368B" w:rsidRPr="008F50E0">
        <w:rPr>
          <w:sz w:val="22"/>
          <w:szCs w:val="22"/>
        </w:rPr>
        <w:t>.</w:t>
      </w:r>
    </w:p>
    <w:p w14:paraId="19F52129" w14:textId="77777777" w:rsidR="00216C68" w:rsidRPr="008F50E0" w:rsidRDefault="00216C68" w:rsidP="00361063">
      <w:pPr>
        <w:rPr>
          <w:sz w:val="22"/>
          <w:szCs w:val="22"/>
        </w:rPr>
      </w:pPr>
    </w:p>
    <w:p w14:paraId="3C12F7AF" w14:textId="74D8E59C" w:rsidR="0060368B" w:rsidRPr="008F50E0" w:rsidRDefault="008F50E0" w:rsidP="00361063">
      <w:pPr>
        <w:rPr>
          <w:rFonts w:ascii="Arial" w:hAnsi="Arial" w:cs="Arial"/>
          <w:b/>
          <w:sz w:val="22"/>
          <w:szCs w:val="22"/>
        </w:rPr>
      </w:pPr>
      <w:r w:rsidRPr="008F50E0">
        <w:rPr>
          <w:rFonts w:ascii="Arial" w:hAnsi="Arial" w:cs="Arial"/>
          <w:b/>
          <w:sz w:val="22"/>
          <w:szCs w:val="22"/>
        </w:rPr>
        <w:t>Potential Benefits</w:t>
      </w:r>
    </w:p>
    <w:p w14:paraId="35D3330C" w14:textId="232E2399" w:rsidR="0060368B" w:rsidRDefault="0060368B" w:rsidP="00361063">
      <w:pPr>
        <w:rPr>
          <w:sz w:val="22"/>
          <w:szCs w:val="22"/>
        </w:rPr>
      </w:pPr>
      <w:r w:rsidRPr="008F50E0">
        <w:rPr>
          <w:sz w:val="22"/>
          <w:szCs w:val="22"/>
        </w:rPr>
        <w:t xml:space="preserve">Both Nottingham and the OU have reported a </w:t>
      </w:r>
      <w:r w:rsidR="00A25BEF" w:rsidRPr="008F50E0">
        <w:rPr>
          <w:sz w:val="22"/>
          <w:szCs w:val="22"/>
        </w:rPr>
        <w:t xml:space="preserve">surprising </w:t>
      </w:r>
      <w:r w:rsidRPr="008F50E0">
        <w:rPr>
          <w:sz w:val="22"/>
          <w:szCs w:val="22"/>
        </w:rPr>
        <w:t xml:space="preserve">number of benefits accruing from </w:t>
      </w:r>
      <w:r w:rsidR="008A679D">
        <w:rPr>
          <w:sz w:val="22"/>
          <w:szCs w:val="22"/>
        </w:rPr>
        <w:t xml:space="preserve">both </w:t>
      </w:r>
      <w:r w:rsidRPr="008F50E0">
        <w:rPr>
          <w:sz w:val="22"/>
          <w:szCs w:val="22"/>
        </w:rPr>
        <w:t>being in the OCW</w:t>
      </w:r>
      <w:r w:rsidR="008A679D">
        <w:rPr>
          <w:sz w:val="22"/>
          <w:szCs w:val="22"/>
        </w:rPr>
        <w:t>,</w:t>
      </w:r>
      <w:r w:rsidRPr="008F50E0">
        <w:rPr>
          <w:sz w:val="22"/>
          <w:szCs w:val="22"/>
        </w:rPr>
        <w:t xml:space="preserve"> and being actively engaged in the </w:t>
      </w:r>
      <w:r w:rsidR="008A679D">
        <w:rPr>
          <w:sz w:val="22"/>
          <w:szCs w:val="22"/>
        </w:rPr>
        <w:t>open education community. This includes</w:t>
      </w:r>
      <w:r w:rsidR="00A25BEF" w:rsidRPr="008F50E0">
        <w:rPr>
          <w:sz w:val="22"/>
          <w:szCs w:val="22"/>
        </w:rPr>
        <w:t>; improved internal communications (less silos), more external collaborative opportunities, developing policy (IPR and employment) and strategy (foreign markets, quality</w:t>
      </w:r>
      <w:r w:rsidR="001F696A" w:rsidRPr="008F50E0">
        <w:rPr>
          <w:sz w:val="22"/>
          <w:szCs w:val="22"/>
        </w:rPr>
        <w:t xml:space="preserve"> and efficiency</w:t>
      </w:r>
      <w:r w:rsidR="00A25BEF" w:rsidRPr="008F50E0">
        <w:rPr>
          <w:sz w:val="22"/>
          <w:szCs w:val="22"/>
        </w:rPr>
        <w:t>), cultural change (</w:t>
      </w:r>
      <w:r w:rsidR="001B21D1">
        <w:rPr>
          <w:sz w:val="22"/>
          <w:szCs w:val="22"/>
        </w:rPr>
        <w:t xml:space="preserve">collaborative academic practice), </w:t>
      </w:r>
      <w:r w:rsidR="009A23DA" w:rsidRPr="008F50E0">
        <w:rPr>
          <w:sz w:val="22"/>
          <w:szCs w:val="22"/>
        </w:rPr>
        <w:t>increased</w:t>
      </w:r>
      <w:r w:rsidR="00994717">
        <w:rPr>
          <w:sz w:val="22"/>
          <w:szCs w:val="22"/>
        </w:rPr>
        <w:t xml:space="preserve"> </w:t>
      </w:r>
      <w:r w:rsidR="00994717" w:rsidRPr="008F50E0">
        <w:rPr>
          <w:sz w:val="22"/>
          <w:szCs w:val="22"/>
        </w:rPr>
        <w:t>int</w:t>
      </w:r>
      <w:r w:rsidR="00994717">
        <w:rPr>
          <w:sz w:val="22"/>
          <w:szCs w:val="22"/>
        </w:rPr>
        <w:t>ernational</w:t>
      </w:r>
      <w:r w:rsidR="001F696A" w:rsidRPr="008F50E0">
        <w:rPr>
          <w:sz w:val="22"/>
          <w:szCs w:val="22"/>
        </w:rPr>
        <w:t xml:space="preserve"> visibility of the Nottingham </w:t>
      </w:r>
      <w:r w:rsidR="009A23DA" w:rsidRPr="008F50E0">
        <w:rPr>
          <w:sz w:val="22"/>
          <w:szCs w:val="22"/>
        </w:rPr>
        <w:t xml:space="preserve">web </w:t>
      </w:r>
      <w:r w:rsidR="001F696A" w:rsidRPr="008F50E0">
        <w:rPr>
          <w:sz w:val="22"/>
          <w:szCs w:val="22"/>
        </w:rPr>
        <w:t>site through the OCW technical infrastructure</w:t>
      </w:r>
      <w:r w:rsidR="009A23DA" w:rsidRPr="008F50E0">
        <w:rPr>
          <w:sz w:val="22"/>
          <w:szCs w:val="22"/>
        </w:rPr>
        <w:t>,</w:t>
      </w:r>
      <w:r w:rsidR="001F696A" w:rsidRPr="008F50E0">
        <w:rPr>
          <w:sz w:val="22"/>
          <w:szCs w:val="22"/>
        </w:rPr>
        <w:t xml:space="preserve"> improvement of internal e-learning processes and digital resource management.</w:t>
      </w:r>
    </w:p>
    <w:p w14:paraId="6C05DC90" w14:textId="77777777" w:rsidR="00216C68" w:rsidRPr="008F50E0" w:rsidRDefault="00216C68" w:rsidP="00361063">
      <w:pPr>
        <w:rPr>
          <w:sz w:val="22"/>
          <w:szCs w:val="22"/>
        </w:rPr>
      </w:pPr>
    </w:p>
    <w:p w14:paraId="1E2C8B09" w14:textId="605D8505" w:rsidR="003D1D51" w:rsidRPr="001540B7" w:rsidRDefault="001540B7" w:rsidP="00361063">
      <w:pPr>
        <w:rPr>
          <w:rFonts w:ascii="Arial" w:hAnsi="Arial" w:cs="Arial"/>
          <w:b/>
          <w:sz w:val="22"/>
          <w:szCs w:val="22"/>
        </w:rPr>
      </w:pPr>
      <w:r w:rsidRPr="001540B7">
        <w:rPr>
          <w:rFonts w:ascii="Arial" w:hAnsi="Arial" w:cs="Arial"/>
          <w:b/>
          <w:sz w:val="22"/>
          <w:szCs w:val="22"/>
        </w:rPr>
        <w:t>Drivers</w:t>
      </w:r>
    </w:p>
    <w:p w14:paraId="149CA952" w14:textId="4A0E457D" w:rsidR="00E27F72" w:rsidRPr="008F50E0" w:rsidRDefault="009A23DA" w:rsidP="00361063">
      <w:pPr>
        <w:rPr>
          <w:sz w:val="22"/>
          <w:szCs w:val="22"/>
        </w:rPr>
      </w:pPr>
      <w:r w:rsidRPr="008F50E0">
        <w:rPr>
          <w:sz w:val="22"/>
          <w:szCs w:val="22"/>
        </w:rPr>
        <w:t>Operating under</w:t>
      </w:r>
      <w:r w:rsidR="003D1D51" w:rsidRPr="008F50E0">
        <w:rPr>
          <w:sz w:val="22"/>
          <w:szCs w:val="22"/>
        </w:rPr>
        <w:t xml:space="preserve"> the </w:t>
      </w:r>
      <w:r w:rsidR="00E27F72" w:rsidRPr="008F50E0">
        <w:rPr>
          <w:sz w:val="22"/>
          <w:szCs w:val="22"/>
        </w:rPr>
        <w:t>banner</w:t>
      </w:r>
      <w:r w:rsidRPr="008F50E0">
        <w:rPr>
          <w:sz w:val="22"/>
          <w:szCs w:val="22"/>
        </w:rPr>
        <w:t xml:space="preserve"> </w:t>
      </w:r>
      <w:hyperlink r:id="rId10" w:history="1">
        <w:r w:rsidRPr="008F50E0">
          <w:rPr>
            <w:rStyle w:val="Hyperlink"/>
            <w:sz w:val="22"/>
            <w:szCs w:val="22"/>
          </w:rPr>
          <w:t>Open Nottingham</w:t>
        </w:r>
      </w:hyperlink>
      <w:r w:rsidRPr="008F50E0">
        <w:rPr>
          <w:sz w:val="22"/>
          <w:szCs w:val="22"/>
        </w:rPr>
        <w:t xml:space="preserve">, </w:t>
      </w:r>
      <w:r w:rsidR="00BA0288">
        <w:rPr>
          <w:sz w:val="22"/>
          <w:szCs w:val="22"/>
        </w:rPr>
        <w:t>there have been</w:t>
      </w:r>
      <w:r w:rsidR="009016D0" w:rsidRPr="008F50E0">
        <w:rPr>
          <w:sz w:val="22"/>
          <w:szCs w:val="22"/>
        </w:rPr>
        <w:t xml:space="preserve"> two practical drivers (i) the need to improve communication with international campus ‘branches’ (China and Malaysia) and continue </w:t>
      </w:r>
      <w:r w:rsidR="00BA0288">
        <w:rPr>
          <w:sz w:val="22"/>
          <w:szCs w:val="22"/>
        </w:rPr>
        <w:t xml:space="preserve">(ii) </w:t>
      </w:r>
      <w:r w:rsidR="009016D0" w:rsidRPr="008F50E0">
        <w:rPr>
          <w:sz w:val="22"/>
          <w:szCs w:val="22"/>
        </w:rPr>
        <w:t>to develop</w:t>
      </w:r>
      <w:r w:rsidR="00450F43" w:rsidRPr="008F50E0">
        <w:rPr>
          <w:sz w:val="22"/>
          <w:szCs w:val="22"/>
        </w:rPr>
        <w:t xml:space="preserve"> the extent </w:t>
      </w:r>
      <w:r w:rsidR="00044D73" w:rsidRPr="008F50E0">
        <w:rPr>
          <w:sz w:val="22"/>
          <w:szCs w:val="22"/>
        </w:rPr>
        <w:t xml:space="preserve">and quality </w:t>
      </w:r>
      <w:r w:rsidR="00450F43" w:rsidRPr="008F50E0">
        <w:rPr>
          <w:sz w:val="22"/>
          <w:szCs w:val="22"/>
        </w:rPr>
        <w:t xml:space="preserve">of e-learning </w:t>
      </w:r>
      <w:r w:rsidR="00044D73" w:rsidRPr="008F50E0">
        <w:rPr>
          <w:sz w:val="22"/>
          <w:szCs w:val="22"/>
        </w:rPr>
        <w:t xml:space="preserve">at </w:t>
      </w:r>
      <w:r w:rsidR="00D936DB" w:rsidRPr="008F50E0">
        <w:rPr>
          <w:sz w:val="22"/>
          <w:szCs w:val="22"/>
        </w:rPr>
        <w:t>Nottingham itself</w:t>
      </w:r>
      <w:r w:rsidR="00044D73" w:rsidRPr="008F50E0">
        <w:rPr>
          <w:sz w:val="22"/>
          <w:szCs w:val="22"/>
        </w:rPr>
        <w:t xml:space="preserve"> </w:t>
      </w:r>
      <w:r w:rsidR="00450F43" w:rsidRPr="008F50E0">
        <w:rPr>
          <w:sz w:val="22"/>
          <w:szCs w:val="22"/>
        </w:rPr>
        <w:t>(</w:t>
      </w:r>
      <w:r w:rsidR="00E27F72" w:rsidRPr="008F50E0">
        <w:rPr>
          <w:sz w:val="22"/>
          <w:szCs w:val="22"/>
        </w:rPr>
        <w:t xml:space="preserve">increasing </w:t>
      </w:r>
      <w:r w:rsidR="00450F43" w:rsidRPr="008F50E0">
        <w:rPr>
          <w:sz w:val="22"/>
          <w:szCs w:val="22"/>
        </w:rPr>
        <w:t>flexible learning</w:t>
      </w:r>
      <w:r w:rsidR="00E27F72" w:rsidRPr="008F50E0">
        <w:rPr>
          <w:sz w:val="22"/>
          <w:szCs w:val="22"/>
        </w:rPr>
        <w:t xml:space="preserve"> on-</w:t>
      </w:r>
      <w:r w:rsidR="00D936DB" w:rsidRPr="008F50E0">
        <w:rPr>
          <w:sz w:val="22"/>
          <w:szCs w:val="22"/>
        </w:rPr>
        <w:t xml:space="preserve">campus, and </w:t>
      </w:r>
      <w:r w:rsidR="00E27F72" w:rsidRPr="008F50E0">
        <w:rPr>
          <w:sz w:val="22"/>
          <w:szCs w:val="22"/>
        </w:rPr>
        <w:t>extending</w:t>
      </w:r>
      <w:r w:rsidR="00D936DB" w:rsidRPr="008F50E0">
        <w:rPr>
          <w:sz w:val="22"/>
          <w:szCs w:val="22"/>
        </w:rPr>
        <w:t xml:space="preserve"> </w:t>
      </w:r>
      <w:r w:rsidR="00E27F72" w:rsidRPr="008F50E0">
        <w:rPr>
          <w:sz w:val="22"/>
          <w:szCs w:val="22"/>
        </w:rPr>
        <w:t xml:space="preserve">the distance </w:t>
      </w:r>
      <w:r w:rsidR="001540B7" w:rsidRPr="008F50E0">
        <w:rPr>
          <w:sz w:val="22"/>
          <w:szCs w:val="22"/>
        </w:rPr>
        <w:t>learning</w:t>
      </w:r>
      <w:r w:rsidR="00E27F72" w:rsidRPr="008F50E0">
        <w:rPr>
          <w:sz w:val="22"/>
          <w:szCs w:val="22"/>
        </w:rPr>
        <w:t xml:space="preserve"> market</w:t>
      </w:r>
      <w:r w:rsidR="00044D73" w:rsidRPr="008F50E0">
        <w:rPr>
          <w:sz w:val="22"/>
          <w:szCs w:val="22"/>
        </w:rPr>
        <w:t xml:space="preserve">). </w:t>
      </w:r>
      <w:r w:rsidR="00674F37" w:rsidRPr="008F50E0">
        <w:rPr>
          <w:sz w:val="22"/>
          <w:szCs w:val="22"/>
        </w:rPr>
        <w:t>Originally, and still, s</w:t>
      </w:r>
      <w:r w:rsidR="00044D73" w:rsidRPr="008F50E0">
        <w:rPr>
          <w:sz w:val="22"/>
          <w:szCs w:val="22"/>
        </w:rPr>
        <w:t>ponsored</w:t>
      </w:r>
      <w:r w:rsidR="00674F37" w:rsidRPr="008F50E0">
        <w:rPr>
          <w:sz w:val="22"/>
          <w:szCs w:val="22"/>
        </w:rPr>
        <w:t xml:space="preserve"> by a Pro-Vice Chancellor and the </w:t>
      </w:r>
      <w:r w:rsidR="00E27F72" w:rsidRPr="008F50E0">
        <w:rPr>
          <w:sz w:val="22"/>
          <w:szCs w:val="22"/>
        </w:rPr>
        <w:t>Head of Learning and Teaching, it is</w:t>
      </w:r>
      <w:r w:rsidR="00674F37" w:rsidRPr="008F50E0">
        <w:rPr>
          <w:sz w:val="22"/>
          <w:szCs w:val="22"/>
        </w:rPr>
        <w:t xml:space="preserve"> also closely integrated into the (large) central </w:t>
      </w:r>
      <w:r w:rsidR="00E27F72" w:rsidRPr="008F50E0">
        <w:rPr>
          <w:sz w:val="22"/>
          <w:szCs w:val="22"/>
        </w:rPr>
        <w:t xml:space="preserve">university </w:t>
      </w:r>
      <w:r w:rsidR="00674F37" w:rsidRPr="008F50E0">
        <w:rPr>
          <w:sz w:val="22"/>
          <w:szCs w:val="22"/>
        </w:rPr>
        <w:t>e-learning team</w:t>
      </w:r>
      <w:r w:rsidR="00E27F72" w:rsidRPr="008F50E0">
        <w:rPr>
          <w:sz w:val="22"/>
          <w:szCs w:val="22"/>
        </w:rPr>
        <w:t xml:space="preserve">. In this way, the </w:t>
      </w:r>
      <w:r w:rsidR="00674F37" w:rsidRPr="008F50E0">
        <w:rPr>
          <w:sz w:val="22"/>
          <w:szCs w:val="22"/>
        </w:rPr>
        <w:t>Open Nottingham initiative has become a mainstream part of the university</w:t>
      </w:r>
      <w:r w:rsidR="00E27F72" w:rsidRPr="008F50E0">
        <w:rPr>
          <w:sz w:val="22"/>
          <w:szCs w:val="22"/>
        </w:rPr>
        <w:t xml:space="preserve"> and</w:t>
      </w:r>
      <w:r w:rsidR="00BA0288">
        <w:rPr>
          <w:sz w:val="22"/>
          <w:szCs w:val="22"/>
        </w:rPr>
        <w:t>,</w:t>
      </w:r>
      <w:r w:rsidR="00E27F72" w:rsidRPr="008F50E0">
        <w:rPr>
          <w:sz w:val="22"/>
          <w:szCs w:val="22"/>
        </w:rPr>
        <w:t xml:space="preserve"> in this respect</w:t>
      </w:r>
      <w:r w:rsidR="00BA0288">
        <w:rPr>
          <w:sz w:val="22"/>
          <w:szCs w:val="22"/>
        </w:rPr>
        <w:t>,</w:t>
      </w:r>
      <w:r w:rsidR="00E27F72" w:rsidRPr="008F50E0">
        <w:rPr>
          <w:sz w:val="22"/>
          <w:szCs w:val="22"/>
        </w:rPr>
        <w:t xml:space="preserve"> reflects successful </w:t>
      </w:r>
      <w:r w:rsidR="00FB1228" w:rsidRPr="008F50E0">
        <w:rPr>
          <w:sz w:val="22"/>
          <w:szCs w:val="22"/>
        </w:rPr>
        <w:t>open education initiative elsewhere – Top Level Support – Strategic Alignment – Practical Integration.</w:t>
      </w:r>
    </w:p>
    <w:p w14:paraId="37EB62C5" w14:textId="77777777" w:rsidR="00216C68" w:rsidRDefault="00216C68" w:rsidP="00361063">
      <w:pPr>
        <w:rPr>
          <w:sz w:val="22"/>
          <w:szCs w:val="22"/>
        </w:rPr>
      </w:pPr>
    </w:p>
    <w:p w14:paraId="59186C27" w14:textId="0EED71AA" w:rsidR="00E27F72" w:rsidRPr="008F50E0" w:rsidRDefault="00216C68" w:rsidP="00361063">
      <w:pPr>
        <w:rPr>
          <w:sz w:val="22"/>
          <w:szCs w:val="22"/>
        </w:rPr>
      </w:pPr>
      <w:r>
        <w:rPr>
          <w:sz w:val="22"/>
          <w:szCs w:val="22"/>
        </w:rPr>
        <w:t>S</w:t>
      </w:r>
      <w:r w:rsidR="00E27F72" w:rsidRPr="008F50E0">
        <w:rPr>
          <w:sz w:val="22"/>
          <w:szCs w:val="22"/>
        </w:rPr>
        <w:t>trategic</w:t>
      </w:r>
      <w:r w:rsidR="003F27F3" w:rsidRPr="008F50E0">
        <w:rPr>
          <w:sz w:val="22"/>
          <w:szCs w:val="22"/>
        </w:rPr>
        <w:t xml:space="preserve"> drivers i</w:t>
      </w:r>
      <w:r w:rsidR="00FB1228" w:rsidRPr="008F50E0">
        <w:rPr>
          <w:sz w:val="22"/>
          <w:szCs w:val="22"/>
        </w:rPr>
        <w:t xml:space="preserve">dentified </w:t>
      </w:r>
      <w:r w:rsidR="003F27F3" w:rsidRPr="008F50E0">
        <w:rPr>
          <w:sz w:val="22"/>
          <w:szCs w:val="22"/>
        </w:rPr>
        <w:t xml:space="preserve">by Open </w:t>
      </w:r>
      <w:r w:rsidR="00FB1228" w:rsidRPr="008F50E0">
        <w:rPr>
          <w:sz w:val="22"/>
          <w:szCs w:val="22"/>
        </w:rPr>
        <w:t>Nottingham are</w:t>
      </w:r>
      <w:r w:rsidR="003F27F3" w:rsidRPr="008F50E0">
        <w:rPr>
          <w:sz w:val="22"/>
          <w:szCs w:val="22"/>
        </w:rPr>
        <w:t>:</w:t>
      </w:r>
    </w:p>
    <w:p w14:paraId="41EDDAE0" w14:textId="78EC11B9" w:rsidR="003F27F3" w:rsidRPr="008F50E0" w:rsidRDefault="000D594E" w:rsidP="00914B73">
      <w:pPr>
        <w:pStyle w:val="ListParagraph"/>
        <w:numPr>
          <w:ilvl w:val="0"/>
          <w:numId w:val="2"/>
        </w:numPr>
        <w:rPr>
          <w:sz w:val="22"/>
          <w:szCs w:val="22"/>
        </w:rPr>
      </w:pPr>
      <w:hyperlink r:id="rId11" w:history="1">
        <w:r w:rsidR="003F27F3" w:rsidRPr="008F50E0">
          <w:rPr>
            <w:rStyle w:val="Hyperlink"/>
            <w:sz w:val="22"/>
            <w:szCs w:val="22"/>
          </w:rPr>
          <w:t>Social Responsibility</w:t>
        </w:r>
      </w:hyperlink>
      <w:r w:rsidR="00914B73" w:rsidRPr="008F50E0">
        <w:rPr>
          <w:sz w:val="22"/>
          <w:szCs w:val="22"/>
        </w:rPr>
        <w:t xml:space="preserve"> (fits institutional mission)</w:t>
      </w:r>
    </w:p>
    <w:p w14:paraId="0238850D" w14:textId="3581F694" w:rsidR="003F27F3" w:rsidRPr="008F50E0" w:rsidRDefault="000D594E" w:rsidP="00914B73">
      <w:pPr>
        <w:pStyle w:val="ListParagraph"/>
        <w:numPr>
          <w:ilvl w:val="0"/>
          <w:numId w:val="2"/>
        </w:numPr>
        <w:rPr>
          <w:sz w:val="22"/>
          <w:szCs w:val="22"/>
        </w:rPr>
      </w:pPr>
      <w:hyperlink r:id="rId12" w:history="1">
        <w:r w:rsidR="003F27F3" w:rsidRPr="008F50E0">
          <w:rPr>
            <w:rStyle w:val="Hyperlink"/>
            <w:sz w:val="22"/>
            <w:szCs w:val="22"/>
          </w:rPr>
          <w:t>The Student Experience</w:t>
        </w:r>
      </w:hyperlink>
      <w:r w:rsidR="00782304" w:rsidRPr="008F50E0">
        <w:rPr>
          <w:sz w:val="22"/>
          <w:szCs w:val="22"/>
        </w:rPr>
        <w:t xml:space="preserve"> (internal processes and access to new materials)</w:t>
      </w:r>
    </w:p>
    <w:p w14:paraId="2C77CD39" w14:textId="0E09204B" w:rsidR="003F27F3" w:rsidRPr="008F50E0" w:rsidRDefault="000D594E" w:rsidP="00914B73">
      <w:pPr>
        <w:pStyle w:val="ListParagraph"/>
        <w:numPr>
          <w:ilvl w:val="0"/>
          <w:numId w:val="2"/>
        </w:numPr>
        <w:rPr>
          <w:sz w:val="22"/>
          <w:szCs w:val="22"/>
        </w:rPr>
      </w:pPr>
      <w:hyperlink r:id="rId13" w:history="1">
        <w:r w:rsidR="003F27F3" w:rsidRPr="008F50E0">
          <w:rPr>
            <w:rStyle w:val="Hyperlink"/>
            <w:sz w:val="22"/>
            <w:szCs w:val="22"/>
          </w:rPr>
          <w:t>Cost Efficiencies</w:t>
        </w:r>
      </w:hyperlink>
      <w:r w:rsidR="00782304" w:rsidRPr="008F50E0">
        <w:rPr>
          <w:sz w:val="22"/>
          <w:szCs w:val="22"/>
        </w:rPr>
        <w:t xml:space="preserve"> (encourages internal culture change and sharing)</w:t>
      </w:r>
    </w:p>
    <w:p w14:paraId="329D337D" w14:textId="4C9789C2" w:rsidR="003F27F3" w:rsidRPr="008F50E0" w:rsidRDefault="000D594E" w:rsidP="00914B73">
      <w:pPr>
        <w:pStyle w:val="ListParagraph"/>
        <w:numPr>
          <w:ilvl w:val="0"/>
          <w:numId w:val="2"/>
        </w:numPr>
        <w:rPr>
          <w:sz w:val="22"/>
          <w:szCs w:val="22"/>
        </w:rPr>
      </w:pPr>
      <w:hyperlink r:id="rId14" w:history="1">
        <w:r w:rsidR="003F27F3" w:rsidRPr="008F50E0">
          <w:rPr>
            <w:rStyle w:val="Hyperlink"/>
            <w:sz w:val="22"/>
            <w:szCs w:val="22"/>
          </w:rPr>
          <w:t>Promotional Opportunities</w:t>
        </w:r>
      </w:hyperlink>
      <w:r w:rsidR="00782304" w:rsidRPr="008F50E0">
        <w:rPr>
          <w:sz w:val="22"/>
          <w:szCs w:val="22"/>
        </w:rPr>
        <w:t xml:space="preserve"> (promotes the university</w:t>
      </w:r>
      <w:r w:rsidRPr="008F50E0">
        <w:rPr>
          <w:sz w:val="22"/>
          <w:szCs w:val="22"/>
        </w:rPr>
        <w:t xml:space="preserve"> globally)</w:t>
      </w:r>
    </w:p>
    <w:p w14:paraId="5DDAEC04" w14:textId="77777777" w:rsidR="003F27F3" w:rsidRDefault="003F27F3" w:rsidP="00361063">
      <w:pPr>
        <w:rPr>
          <w:sz w:val="22"/>
          <w:szCs w:val="22"/>
        </w:rPr>
      </w:pPr>
    </w:p>
    <w:p w14:paraId="462E5176" w14:textId="3926CC17" w:rsidR="00216C68" w:rsidRPr="00216C68" w:rsidRDefault="00216C68" w:rsidP="00361063">
      <w:pPr>
        <w:rPr>
          <w:rFonts w:ascii="Arial" w:hAnsi="Arial" w:cs="Arial"/>
          <w:b/>
          <w:sz w:val="22"/>
          <w:szCs w:val="22"/>
        </w:rPr>
      </w:pPr>
      <w:r w:rsidRPr="00216C68">
        <w:rPr>
          <w:rFonts w:ascii="Arial" w:hAnsi="Arial" w:cs="Arial"/>
          <w:b/>
          <w:sz w:val="22"/>
          <w:szCs w:val="22"/>
        </w:rPr>
        <w:t>Methods</w:t>
      </w:r>
    </w:p>
    <w:p w14:paraId="79F7F960" w14:textId="3F083999" w:rsidR="00216C68" w:rsidRDefault="00216C68" w:rsidP="00361063">
      <w:pPr>
        <w:rPr>
          <w:sz w:val="22"/>
          <w:szCs w:val="22"/>
        </w:rPr>
      </w:pPr>
      <w:r>
        <w:rPr>
          <w:sz w:val="22"/>
          <w:szCs w:val="22"/>
        </w:rPr>
        <w:t xml:space="preserve">Nottingham </w:t>
      </w:r>
      <w:r w:rsidR="00BA0288">
        <w:rPr>
          <w:sz w:val="22"/>
          <w:szCs w:val="22"/>
        </w:rPr>
        <w:t>has</w:t>
      </w:r>
      <w:r>
        <w:rPr>
          <w:sz w:val="22"/>
          <w:szCs w:val="22"/>
        </w:rPr>
        <w:t xml:space="preserve"> adopted a twin-track approach</w:t>
      </w:r>
      <w:r w:rsidR="00BD213A">
        <w:rPr>
          <w:sz w:val="22"/>
          <w:szCs w:val="22"/>
        </w:rPr>
        <w:t xml:space="preserve"> that both UAL and Coventry seem to be following</w:t>
      </w:r>
      <w:r>
        <w:rPr>
          <w:sz w:val="22"/>
          <w:szCs w:val="22"/>
        </w:rPr>
        <w:t>:</w:t>
      </w:r>
    </w:p>
    <w:p w14:paraId="35407831" w14:textId="77777777" w:rsidR="00216C68" w:rsidRDefault="00216C68" w:rsidP="00361063">
      <w:pPr>
        <w:rPr>
          <w:sz w:val="22"/>
          <w:szCs w:val="22"/>
        </w:rPr>
      </w:pPr>
    </w:p>
    <w:p w14:paraId="5E008C64" w14:textId="1B94A5D3" w:rsidR="00216C68" w:rsidRDefault="00216C68" w:rsidP="00361063">
      <w:pPr>
        <w:rPr>
          <w:sz w:val="22"/>
          <w:szCs w:val="22"/>
        </w:rPr>
      </w:pPr>
      <w:r w:rsidRPr="00BD213A">
        <w:rPr>
          <w:sz w:val="22"/>
          <w:szCs w:val="22"/>
          <w:u w:val="single"/>
        </w:rPr>
        <w:t>Technical Innovation:</w:t>
      </w:r>
      <w:r>
        <w:rPr>
          <w:sz w:val="22"/>
          <w:szCs w:val="22"/>
        </w:rPr>
        <w:t xml:space="preserve"> </w:t>
      </w:r>
      <w:r w:rsidR="00BD213A">
        <w:rPr>
          <w:sz w:val="22"/>
          <w:szCs w:val="22"/>
        </w:rPr>
        <w:t>Tools and services to support both open and ca</w:t>
      </w:r>
      <w:r w:rsidR="004D5D18">
        <w:rPr>
          <w:sz w:val="22"/>
          <w:szCs w:val="22"/>
        </w:rPr>
        <w:t>mpus-based education</w:t>
      </w:r>
      <w:r w:rsidR="003F06C7">
        <w:rPr>
          <w:sz w:val="22"/>
          <w:szCs w:val="22"/>
        </w:rPr>
        <w:t>,</w:t>
      </w:r>
      <w:r w:rsidR="004D5D18">
        <w:rPr>
          <w:sz w:val="22"/>
          <w:szCs w:val="22"/>
        </w:rPr>
        <w:t xml:space="preserve"> both homegrown</w:t>
      </w:r>
      <w:bookmarkStart w:id="0" w:name="_GoBack"/>
      <w:bookmarkEnd w:id="0"/>
      <w:r w:rsidR="00BD213A">
        <w:rPr>
          <w:sz w:val="22"/>
          <w:szCs w:val="22"/>
        </w:rPr>
        <w:t xml:space="preserve"> and innovative use of existing freely available technology, including the Web 2.0 infrastructure. This has the considerable bonus of acting as a ‘living laboratory’ to spread </w:t>
      </w:r>
      <w:r w:rsidR="00E5249B">
        <w:rPr>
          <w:sz w:val="22"/>
          <w:szCs w:val="22"/>
        </w:rPr>
        <w:t xml:space="preserve">confident </w:t>
      </w:r>
      <w:r w:rsidR="00BD213A">
        <w:rPr>
          <w:sz w:val="22"/>
          <w:szCs w:val="22"/>
        </w:rPr>
        <w:t>good practice to the rest of the university</w:t>
      </w:r>
      <w:r w:rsidR="001F5B5A">
        <w:rPr>
          <w:sz w:val="22"/>
          <w:szCs w:val="22"/>
        </w:rPr>
        <w:t xml:space="preserve"> -</w:t>
      </w:r>
      <w:hyperlink r:id="rId15" w:history="1">
        <w:r w:rsidR="001F5B5A" w:rsidRPr="001F5B5A">
          <w:rPr>
            <w:rStyle w:val="Hyperlink"/>
            <w:sz w:val="22"/>
            <w:szCs w:val="22"/>
          </w:rPr>
          <w:t>link</w:t>
        </w:r>
      </w:hyperlink>
      <w:r w:rsidR="00E5249B">
        <w:rPr>
          <w:sz w:val="22"/>
          <w:szCs w:val="22"/>
        </w:rPr>
        <w:t>.</w:t>
      </w:r>
    </w:p>
    <w:p w14:paraId="1941BB57" w14:textId="77777777" w:rsidR="00BD213A" w:rsidRDefault="00BD213A" w:rsidP="00361063">
      <w:pPr>
        <w:rPr>
          <w:sz w:val="22"/>
          <w:szCs w:val="22"/>
        </w:rPr>
      </w:pPr>
    </w:p>
    <w:p w14:paraId="09BCC689" w14:textId="28C6F47E" w:rsidR="00BD213A" w:rsidRDefault="00BD213A" w:rsidP="00361063">
      <w:pPr>
        <w:rPr>
          <w:sz w:val="22"/>
          <w:szCs w:val="22"/>
        </w:rPr>
      </w:pPr>
      <w:r w:rsidRPr="00BD213A">
        <w:rPr>
          <w:sz w:val="22"/>
          <w:szCs w:val="22"/>
          <w:u w:val="single"/>
        </w:rPr>
        <w:t>Educational Innovation:</w:t>
      </w:r>
      <w:r>
        <w:rPr>
          <w:sz w:val="22"/>
          <w:szCs w:val="22"/>
        </w:rPr>
        <w:t xml:space="preserve"> Involvement in open educational activities promotes reflection and critical evaluation at personal, departmental, disciplinary and institutional levels</w:t>
      </w:r>
      <w:r w:rsidR="00E5249B">
        <w:rPr>
          <w:sz w:val="22"/>
          <w:szCs w:val="22"/>
        </w:rPr>
        <w:t>.</w:t>
      </w:r>
      <w:r w:rsidR="009E58CB">
        <w:rPr>
          <w:sz w:val="22"/>
          <w:szCs w:val="22"/>
        </w:rPr>
        <w:t xml:space="preserve"> It acts as a 2-way door to the wider educational community </w:t>
      </w:r>
      <w:r w:rsidR="004D5D18">
        <w:rPr>
          <w:sz w:val="22"/>
          <w:szCs w:val="22"/>
        </w:rPr>
        <w:t xml:space="preserve">promoting </w:t>
      </w:r>
      <w:r w:rsidR="009E58CB">
        <w:rPr>
          <w:sz w:val="22"/>
          <w:szCs w:val="22"/>
        </w:rPr>
        <w:t>innovation</w:t>
      </w:r>
      <w:r w:rsidR="004D5D18">
        <w:rPr>
          <w:sz w:val="22"/>
          <w:szCs w:val="22"/>
        </w:rPr>
        <w:t xml:space="preserve"> and collaboration. Provides the driver and context for cultural change that can support improvements in quality and efficiency - </w:t>
      </w:r>
      <w:hyperlink r:id="rId16" w:history="1">
        <w:r w:rsidR="004D5D18" w:rsidRPr="004D5D18">
          <w:rPr>
            <w:rStyle w:val="Hyperlink"/>
            <w:sz w:val="22"/>
            <w:szCs w:val="22"/>
          </w:rPr>
          <w:t>link</w:t>
        </w:r>
      </w:hyperlink>
    </w:p>
    <w:p w14:paraId="5AA1A51A" w14:textId="77777777" w:rsidR="00BD213A" w:rsidRPr="008F50E0" w:rsidRDefault="00BD213A" w:rsidP="00361063">
      <w:pPr>
        <w:rPr>
          <w:sz w:val="22"/>
          <w:szCs w:val="22"/>
        </w:rPr>
      </w:pPr>
    </w:p>
    <w:sectPr w:rsidR="00BD213A" w:rsidRPr="008F50E0" w:rsidSect="00EF0E25">
      <w:headerReference w:type="default" r:id="rId17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37339E" w14:textId="77777777" w:rsidR="00A425F7" w:rsidRDefault="00A425F7" w:rsidP="00ED05D6">
      <w:r>
        <w:separator/>
      </w:r>
    </w:p>
  </w:endnote>
  <w:endnote w:type="continuationSeparator" w:id="0">
    <w:p w14:paraId="3086BADB" w14:textId="77777777" w:rsidR="00A425F7" w:rsidRDefault="00A425F7" w:rsidP="00ED0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C5696D" w14:textId="77777777" w:rsidR="00A425F7" w:rsidRDefault="00A425F7" w:rsidP="00ED05D6">
      <w:r>
        <w:separator/>
      </w:r>
    </w:p>
  </w:footnote>
  <w:footnote w:type="continuationSeparator" w:id="0">
    <w:p w14:paraId="154FFD33" w14:textId="77777777" w:rsidR="00A425F7" w:rsidRDefault="00A425F7" w:rsidP="00ED05D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7B8B1E" w14:textId="25337581" w:rsidR="00A425F7" w:rsidRPr="00601044" w:rsidRDefault="00A425F7" w:rsidP="00361063">
    <w:pPr>
      <w:rPr>
        <w:rFonts w:asciiTheme="majorHAnsi" w:hAnsiTheme="majorHAnsi"/>
        <w:b/>
        <w:sz w:val="28"/>
        <w:szCs w:val="28"/>
      </w:rPr>
    </w:pPr>
    <w:r w:rsidRPr="00601044">
      <w:rPr>
        <w:rFonts w:asciiTheme="majorHAnsi" w:hAnsiTheme="majorHAnsi"/>
        <w:b/>
        <w:sz w:val="28"/>
        <w:szCs w:val="28"/>
      </w:rPr>
      <w:t xml:space="preserve">UAL </w:t>
    </w:r>
    <w:r>
      <w:rPr>
        <w:rFonts w:asciiTheme="majorHAnsi" w:hAnsiTheme="majorHAnsi"/>
        <w:b/>
        <w:sz w:val="28"/>
        <w:szCs w:val="28"/>
      </w:rPr>
      <w:t xml:space="preserve">&amp; Coventry University </w:t>
    </w:r>
    <w:r w:rsidRPr="00601044">
      <w:rPr>
        <w:rFonts w:asciiTheme="majorHAnsi" w:hAnsiTheme="majorHAnsi"/>
        <w:b/>
        <w:sz w:val="28"/>
        <w:szCs w:val="28"/>
      </w:rPr>
      <w:t xml:space="preserve">OER / OCWC Workshop: </w:t>
    </w:r>
  </w:p>
  <w:p w14:paraId="1871DEEF" w14:textId="2294EB98" w:rsidR="00A425F7" w:rsidRPr="00601044" w:rsidRDefault="00A425F7" w:rsidP="00361063">
    <w:pPr>
      <w:rPr>
        <w:rFonts w:asciiTheme="majorHAnsi" w:hAnsiTheme="majorHAnsi"/>
        <w:b/>
        <w:sz w:val="28"/>
        <w:szCs w:val="28"/>
      </w:rPr>
    </w:pPr>
    <w:r w:rsidRPr="00601044">
      <w:rPr>
        <w:rFonts w:asciiTheme="majorHAnsi" w:hAnsiTheme="majorHAnsi"/>
        <w:b/>
        <w:sz w:val="28"/>
        <w:szCs w:val="28"/>
      </w:rPr>
      <w:t>Open Nottingham Case Study</w:t>
    </w:r>
  </w:p>
  <w:p w14:paraId="0B3A6DE5" w14:textId="18448A14" w:rsidR="00A425F7" w:rsidRDefault="00A425F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E0E10"/>
    <w:multiLevelType w:val="hybridMultilevel"/>
    <w:tmpl w:val="73261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CC7E84"/>
    <w:multiLevelType w:val="hybridMultilevel"/>
    <w:tmpl w:val="AF667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ECD"/>
    <w:rsid w:val="00044D73"/>
    <w:rsid w:val="000D594E"/>
    <w:rsid w:val="00132876"/>
    <w:rsid w:val="001540B7"/>
    <w:rsid w:val="0018302D"/>
    <w:rsid w:val="001B21D1"/>
    <w:rsid w:val="001F5B5A"/>
    <w:rsid w:val="001F696A"/>
    <w:rsid w:val="00216C68"/>
    <w:rsid w:val="00234ECD"/>
    <w:rsid w:val="002730BB"/>
    <w:rsid w:val="003160F9"/>
    <w:rsid w:val="00361063"/>
    <w:rsid w:val="003D1D51"/>
    <w:rsid w:val="003F06C7"/>
    <w:rsid w:val="003F27F3"/>
    <w:rsid w:val="00450F43"/>
    <w:rsid w:val="004D5D18"/>
    <w:rsid w:val="00541692"/>
    <w:rsid w:val="00576EFB"/>
    <w:rsid w:val="00601044"/>
    <w:rsid w:val="0060368B"/>
    <w:rsid w:val="00674D7F"/>
    <w:rsid w:val="00674F37"/>
    <w:rsid w:val="0069128F"/>
    <w:rsid w:val="006F1943"/>
    <w:rsid w:val="00782304"/>
    <w:rsid w:val="00862940"/>
    <w:rsid w:val="008A679D"/>
    <w:rsid w:val="008F50E0"/>
    <w:rsid w:val="008F669B"/>
    <w:rsid w:val="009016D0"/>
    <w:rsid w:val="00914B73"/>
    <w:rsid w:val="0097755A"/>
    <w:rsid w:val="00986730"/>
    <w:rsid w:val="00994717"/>
    <w:rsid w:val="009A23DA"/>
    <w:rsid w:val="009E58CB"/>
    <w:rsid w:val="00A25BEF"/>
    <w:rsid w:val="00A425F7"/>
    <w:rsid w:val="00AB45D2"/>
    <w:rsid w:val="00AC1D4F"/>
    <w:rsid w:val="00BA0288"/>
    <w:rsid w:val="00BD213A"/>
    <w:rsid w:val="00C878D0"/>
    <w:rsid w:val="00D936DB"/>
    <w:rsid w:val="00DF0D16"/>
    <w:rsid w:val="00E27F72"/>
    <w:rsid w:val="00E5249B"/>
    <w:rsid w:val="00ED05D6"/>
    <w:rsid w:val="00EF0E25"/>
    <w:rsid w:val="00F56F97"/>
    <w:rsid w:val="00F8324E"/>
    <w:rsid w:val="00FB122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8CC9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05D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05D6"/>
  </w:style>
  <w:style w:type="paragraph" w:styleId="Footer">
    <w:name w:val="footer"/>
    <w:basedOn w:val="Normal"/>
    <w:link w:val="FooterChar"/>
    <w:uiPriority w:val="99"/>
    <w:unhideWhenUsed/>
    <w:rsid w:val="00ED05D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05D6"/>
  </w:style>
  <w:style w:type="character" w:styleId="Hyperlink">
    <w:name w:val="Hyperlink"/>
    <w:basedOn w:val="DefaultParagraphFont"/>
    <w:uiPriority w:val="99"/>
    <w:unhideWhenUsed/>
    <w:rsid w:val="0086294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62940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F27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05D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05D6"/>
  </w:style>
  <w:style w:type="paragraph" w:styleId="Footer">
    <w:name w:val="footer"/>
    <w:basedOn w:val="Normal"/>
    <w:link w:val="FooterChar"/>
    <w:uiPriority w:val="99"/>
    <w:unhideWhenUsed/>
    <w:rsid w:val="00ED05D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05D6"/>
  </w:style>
  <w:style w:type="character" w:styleId="Hyperlink">
    <w:name w:val="Hyperlink"/>
    <w:basedOn w:val="DefaultParagraphFont"/>
    <w:uiPriority w:val="99"/>
    <w:unhideWhenUsed/>
    <w:rsid w:val="0086294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62940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F27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nottingham.ac.uk/open/strategicdrivers/socialresponsibility.aspx" TargetMode="External"/><Relationship Id="rId12" Type="http://schemas.openxmlformats.org/officeDocument/2006/relationships/hyperlink" Target="http://www.nottingham.ac.uk/open/strategicdrivers/thestudentexperience.aspx" TargetMode="External"/><Relationship Id="rId13" Type="http://schemas.openxmlformats.org/officeDocument/2006/relationships/hyperlink" Target="http://www.nottingham.ac.uk/open/strategicdrivers/costefficiencies.aspx" TargetMode="External"/><Relationship Id="rId14" Type="http://schemas.openxmlformats.org/officeDocument/2006/relationships/hyperlink" Target="http://www.nottingham.ac.uk/open/strategicdrivers/promotionalopportunities.aspx" TargetMode="External"/><Relationship Id="rId15" Type="http://schemas.openxmlformats.org/officeDocument/2006/relationships/hyperlink" Target="http://www.youtube.com/watch?v=lEAG2b0Nq5g&amp;list=ECCF91107D71DD8579&amp;index=2" TargetMode="External"/><Relationship Id="rId16" Type="http://schemas.openxmlformats.org/officeDocument/2006/relationships/hyperlink" Target="http://www.nottingham.ac.uk/open/strategicdrivers/costefficiencies.aspx" TargetMode="External"/><Relationship Id="rId17" Type="http://schemas.openxmlformats.org/officeDocument/2006/relationships/header" Target="head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ocwconsortium.org/" TargetMode="External"/><Relationship Id="rId9" Type="http://schemas.openxmlformats.org/officeDocument/2006/relationships/hyperlink" Target="http://ocw.mit.edu/index.htm" TargetMode="External"/><Relationship Id="rId10" Type="http://schemas.openxmlformats.org/officeDocument/2006/relationships/hyperlink" Target="http://www.nottingham.ac.uk/open/opennottingham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581</Words>
  <Characters>3318</Characters>
  <Application>Microsoft Macintosh Word</Application>
  <DocSecurity>0</DocSecurity>
  <Lines>27</Lines>
  <Paragraphs>7</Paragraphs>
  <ScaleCrop>false</ScaleCrop>
  <Company>UAL</Company>
  <LinksUpToDate>false</LinksUpToDate>
  <CharactersWithSpaces>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casey</dc:creator>
  <cp:keywords/>
  <dc:description/>
  <cp:lastModifiedBy>john casey</cp:lastModifiedBy>
  <cp:revision>42</cp:revision>
  <dcterms:created xsi:type="dcterms:W3CDTF">2012-12-13T13:21:00Z</dcterms:created>
  <dcterms:modified xsi:type="dcterms:W3CDTF">2012-12-13T17:08:00Z</dcterms:modified>
</cp:coreProperties>
</file>